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49.0" w:type="dxa"/>
        <w:jc w:val="left"/>
        <w:tblInd w:w="-731.0" w:type="dxa"/>
        <w:tblLayout w:type="fixed"/>
        <w:tblLook w:val="0000"/>
      </w:tblPr>
      <w:tblGrid>
        <w:gridCol w:w="1812"/>
        <w:gridCol w:w="9237"/>
        <w:tblGridChange w:id="0">
          <w:tblGrid>
            <w:gridCol w:w="1812"/>
            <w:gridCol w:w="9237"/>
          </w:tblGrid>
        </w:tblGridChange>
      </w:tblGrid>
      <w:tr>
        <w:trPr>
          <w:cantSplit w:val="0"/>
          <w:tblHeader w:val="0"/>
        </w:trPr>
        <w:tc>
          <w:tcPr>
            <w:vMerge w:val="restart"/>
            <w:shd w:fill="auto" w:val="clea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-16509</wp:posOffset>
                  </wp:positionH>
                  <wp:positionV relativeFrom="paragraph">
                    <wp:posOffset>87630</wp:posOffset>
                  </wp:positionV>
                  <wp:extent cx="1114425" cy="76898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14425" cy="768985"/>
                          </a:xfrm>
                          <a:prstGeom prst="rect"/>
                          <a:ln/>
                        </pic:spPr>
                      </pic:pic>
                    </a:graphicData>
                  </a:graphic>
                </wp:anchor>
              </w:drawing>
            </w:r>
          </w:p>
        </w:tc>
        <w:tc>
          <w:tcPr>
            <w:tcBorders>
              <w:bottom w:color="3465a4" w:space="0" w:sz="12" w:val="single"/>
            </w:tcBorders>
            <w:shd w:fill="auto" w:val="clear"/>
          </w:tcPr>
          <w:p w:rsidR="00000000" w:rsidDel="00000000" w:rsidP="00000000" w:rsidRDefault="00000000" w:rsidRPr="00000000" w14:paraId="00000003">
            <w:pPr>
              <w:pStyle w:val="Title"/>
              <w:spacing w:after="120" w:before="240" w:lineRule="auto"/>
              <w:rPr>
                <w:sz w:val="48"/>
                <w:szCs w:val="48"/>
              </w:rPr>
            </w:pPr>
            <w:r w:rsidDel="00000000" w:rsidR="00000000" w:rsidRPr="00000000">
              <w:rPr>
                <w:sz w:val="48"/>
                <w:szCs w:val="48"/>
                <w:rtl w:val="0"/>
              </w:rPr>
              <w:t xml:space="preserve">Información al alumnado y sus familias</w:t>
            </w:r>
          </w:p>
        </w:tc>
      </w:tr>
      <w:tr>
        <w:trPr>
          <w:cantSplit w:val="0"/>
          <w:tblHeader w:val="0"/>
        </w:trPr>
        <w:tc>
          <w:tcPr>
            <w:vMerge w:val="continue"/>
            <w:shd w:fill="auto" w:val="cle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48"/>
                <w:szCs w:val="48"/>
              </w:rPr>
            </w:pPr>
            <w:r w:rsidDel="00000000" w:rsidR="00000000" w:rsidRPr="00000000">
              <w:rPr>
                <w:rtl w:val="0"/>
              </w:rPr>
            </w:r>
          </w:p>
        </w:tc>
        <w:tc>
          <w:tcPr>
            <w:shd w:fill="auto" w:val="clea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Linux Biolinum G" w:cs="Linux Biolinum G" w:eastAsia="Linux Biolinum G" w:hAnsi="Linux Biolinum G"/>
                <w:b w:val="0"/>
                <w:i w:val="0"/>
                <w:smallCaps w:val="0"/>
                <w:strike w:val="0"/>
                <w:color w:val="000000"/>
                <w:sz w:val="44"/>
                <w:szCs w:val="44"/>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000000"/>
                <w:sz w:val="44"/>
                <w:szCs w:val="44"/>
                <w:u w:val="none"/>
                <w:shd w:fill="auto" w:val="clear"/>
                <w:vertAlign w:val="baseline"/>
                <w:rtl w:val="0"/>
              </w:rPr>
              <w:t xml:space="preserve">Curso 202</w:t>
            </w:r>
            <w:r w:rsidDel="00000000" w:rsidR="00000000" w:rsidRPr="00000000">
              <w:rPr>
                <w:sz w:val="44"/>
                <w:szCs w:val="44"/>
                <w:rtl w:val="0"/>
              </w:rPr>
              <w:t xml:space="preserve">5</w:t>
            </w:r>
            <w:r w:rsidDel="00000000" w:rsidR="00000000" w:rsidRPr="00000000">
              <w:rPr>
                <w:rFonts w:ascii="Linux Biolinum G" w:cs="Linux Biolinum G" w:eastAsia="Linux Biolinum G" w:hAnsi="Linux Biolinum G"/>
                <w:b w:val="0"/>
                <w:i w:val="0"/>
                <w:smallCaps w:val="0"/>
                <w:strike w:val="0"/>
                <w:color w:val="000000"/>
                <w:sz w:val="44"/>
                <w:szCs w:val="44"/>
                <w:u w:val="none"/>
                <w:shd w:fill="auto" w:val="clear"/>
                <w:vertAlign w:val="baseline"/>
                <w:rtl w:val="0"/>
              </w:rPr>
              <w:t xml:space="preserve">/2</w:t>
            </w:r>
            <w:r w:rsidDel="00000000" w:rsidR="00000000" w:rsidRPr="00000000">
              <w:rPr>
                <w:sz w:val="44"/>
                <w:szCs w:val="44"/>
                <w:rtl w:val="0"/>
              </w:rPr>
              <w:t xml:space="preserve">6</w:t>
            </w:r>
            <w:r w:rsidDel="00000000" w:rsidR="00000000" w:rsidRPr="00000000">
              <w:rPr>
                <w:rtl w:val="0"/>
              </w:rPr>
            </w:r>
          </w:p>
        </w:tc>
      </w:tr>
    </w:tbl>
    <w:p w:rsidR="00000000" w:rsidDel="00000000" w:rsidP="00000000" w:rsidRDefault="00000000" w:rsidRPr="00000000" w14:paraId="00000006">
      <w:pPr>
        <w:pStyle w:val="Title"/>
        <w:rPr>
          <w:rFonts w:ascii="Liberation Sans" w:cs="Liberation Sans" w:eastAsia="Liberation Sans" w:hAnsi="Liberation Sans"/>
          <w:b w:val="1"/>
          <w:color w:val="213c70"/>
          <w:sz w:val="32"/>
          <w:szCs w:val="32"/>
        </w:rPr>
      </w:pPr>
      <w:r w:rsidDel="00000000" w:rsidR="00000000" w:rsidRPr="00000000">
        <w:rPr>
          <w:rtl w:val="0"/>
        </w:rPr>
      </w:r>
    </w:p>
    <w:tbl>
      <w:tblPr>
        <w:tblStyle w:val="Table2"/>
        <w:tblW w:w="9638.0" w:type="dxa"/>
        <w:jc w:val="left"/>
        <w:tblInd w:w="-105.0" w:type="dxa"/>
        <w:tblBorders>
          <w:top w:color="213c70" w:space="0" w:sz="6" w:val="single"/>
          <w:left w:color="213c70" w:space="0" w:sz="6" w:val="single"/>
          <w:bottom w:color="213c70" w:space="0" w:sz="4" w:val="single"/>
          <w:insideH w:color="213c70" w:space="0" w:sz="4" w:val="single"/>
        </w:tblBorders>
        <w:tblLayout w:type="fixed"/>
        <w:tblLook w:val="0000"/>
      </w:tblPr>
      <w:tblGrid>
        <w:gridCol w:w="3237"/>
        <w:gridCol w:w="6401"/>
        <w:tblGridChange w:id="0">
          <w:tblGrid>
            <w:gridCol w:w="3237"/>
            <w:gridCol w:w="6401"/>
          </w:tblGrid>
        </w:tblGridChange>
      </w:tblGrid>
      <w:tr>
        <w:trPr>
          <w:cantSplit w:val="0"/>
          <w:tblHeader w:val="0"/>
        </w:trPr>
        <w:tc>
          <w:tcPr>
            <w:tcBorders>
              <w:top w:color="213c70" w:space="0" w:sz="6" w:val="single"/>
              <w:left w:color="213c70" w:space="0" w:sz="6" w:val="single"/>
              <w:bottom w:color="213c70" w:space="0" w:sz="4" w:val="single"/>
            </w:tcBorders>
            <w:shd w:fill="dee2eb"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Departamento:</w:t>
            </w:r>
          </w:p>
        </w:tc>
        <w:tc>
          <w:tcPr>
            <w:tcBorders>
              <w:top w:color="213c70" w:space="0" w:sz="6" w:val="single"/>
              <w:left w:color="213c70" w:space="0" w:sz="4" w:val="single"/>
              <w:bottom w:color="213c70" w:space="0" w:sz="4" w:val="single"/>
              <w:right w:color="213c70" w:space="0" w:sz="6" w:val="single"/>
            </w:tcBorders>
            <w:shd w:fill="ffffff" w:val="cle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36"/>
                <w:szCs w:val="36"/>
                <w:u w:val="none"/>
                <w:shd w:fill="auto" w:val="clear"/>
                <w:vertAlign w:val="baseline"/>
              </w:rPr>
            </w:pPr>
            <w:r w:rsidDel="00000000" w:rsidR="00000000" w:rsidRPr="00000000">
              <w:rPr>
                <w:sz w:val="36"/>
                <w:szCs w:val="36"/>
                <w:rtl w:val="0"/>
              </w:rPr>
              <w:t xml:space="preserve">Física y Química</w:t>
            </w:r>
            <w:r w:rsidDel="00000000" w:rsidR="00000000" w:rsidRPr="00000000">
              <w:rPr>
                <w:rtl w:val="0"/>
              </w:rPr>
            </w:r>
          </w:p>
        </w:tc>
      </w:tr>
      <w:tr>
        <w:trPr>
          <w:cantSplit w:val="0"/>
          <w:tblHeader w:val="0"/>
        </w:trPr>
        <w:tc>
          <w:tcPr>
            <w:tcBorders>
              <w:left w:color="213c70" w:space="0" w:sz="6" w:val="single"/>
              <w:bottom w:color="213c70" w:space="0" w:sz="4" w:val="single"/>
            </w:tcBorders>
            <w:shd w:fill="dee2eb"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Materia o ámbito:</w:t>
            </w:r>
          </w:p>
        </w:tc>
        <w:tc>
          <w:tcPr>
            <w:tcBorders>
              <w:left w:color="213c70" w:space="0" w:sz="4" w:val="single"/>
              <w:bottom w:color="213c70" w:space="0" w:sz="4" w:val="single"/>
              <w:right w:color="213c70" w:space="0" w:sz="6" w:val="single"/>
            </w:tcBorders>
            <w:shd w:fill="ffffff" w:val="cle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36"/>
                <w:szCs w:val="36"/>
                <w:u w:val="none"/>
                <w:shd w:fill="auto" w:val="clear"/>
                <w:vertAlign w:val="baseline"/>
              </w:rPr>
            </w:pPr>
            <w:r w:rsidDel="00000000" w:rsidR="00000000" w:rsidRPr="00000000">
              <w:rPr>
                <w:sz w:val="36"/>
                <w:szCs w:val="36"/>
                <w:rtl w:val="0"/>
              </w:rPr>
              <w:t xml:space="preserve">Física y Química</w:t>
            </w:r>
            <w:r w:rsidDel="00000000" w:rsidR="00000000" w:rsidRPr="00000000">
              <w:rPr>
                <w:rtl w:val="0"/>
              </w:rPr>
            </w:r>
          </w:p>
        </w:tc>
      </w:tr>
      <w:tr>
        <w:trPr>
          <w:cantSplit w:val="0"/>
          <w:tblHeader w:val="0"/>
        </w:trPr>
        <w:tc>
          <w:tcPr>
            <w:tcBorders>
              <w:left w:color="213c70" w:space="0" w:sz="6" w:val="single"/>
              <w:bottom w:color="213c70" w:space="0" w:sz="6" w:val="single"/>
            </w:tcBorders>
            <w:shd w:fill="dee2eb" w:val="clea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Curso:</w:t>
            </w:r>
          </w:p>
        </w:tc>
        <w:tc>
          <w:tcPr>
            <w:tcBorders>
              <w:left w:color="213c70" w:space="0" w:sz="4" w:val="single"/>
              <w:bottom w:color="213c70" w:space="0" w:sz="6" w:val="single"/>
              <w:right w:color="213c70" w:space="0" w:sz="6" w:val="single"/>
            </w:tcBorders>
            <w:shd w:fill="auto" w:val="cle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000000"/>
                <w:sz w:val="36"/>
                <w:szCs w:val="36"/>
                <w:u w:val="none"/>
                <w:shd w:fill="auto" w:val="clear"/>
                <w:vertAlign w:val="baseline"/>
              </w:rPr>
            </w:pPr>
            <w:r w:rsidDel="00000000" w:rsidR="00000000" w:rsidRPr="00000000">
              <w:rPr>
                <w:sz w:val="36"/>
                <w:szCs w:val="36"/>
                <w:rtl w:val="0"/>
              </w:rPr>
              <w:t xml:space="preserve">4</w:t>
            </w:r>
            <w:r w:rsidDel="00000000" w:rsidR="00000000" w:rsidRPr="00000000">
              <w:rPr>
                <w:rFonts w:ascii="Linux Biolinum G" w:cs="Linux Biolinum G" w:eastAsia="Linux Biolinum G" w:hAnsi="Linux Biolinum G"/>
                <w:b w:val="0"/>
                <w:i w:val="0"/>
                <w:smallCaps w:val="0"/>
                <w:strike w:val="0"/>
                <w:color w:val="000000"/>
                <w:sz w:val="36"/>
                <w:szCs w:val="36"/>
                <w:u w:val="none"/>
                <w:shd w:fill="auto" w:val="clear"/>
                <w:vertAlign w:val="baseline"/>
                <w:rtl w:val="0"/>
              </w:rPr>
              <w:t xml:space="preserve">º ESO</w:t>
            </w:r>
          </w:p>
        </w:tc>
      </w:tr>
    </w:tbl>
    <w:p w:rsidR="00000000" w:rsidDel="00000000" w:rsidP="00000000" w:rsidRDefault="00000000" w:rsidRPr="00000000" w14:paraId="0000000D">
      <w:pPr>
        <w:rPr>
          <w:rFonts w:ascii="Liberation Sans" w:cs="Liberation Sans" w:eastAsia="Liberation Sans" w:hAnsi="Liberation Sans"/>
          <w:b w:val="1"/>
          <w:color w:val="213c70"/>
          <w:sz w:val="32"/>
          <w:szCs w:val="32"/>
        </w:rPr>
      </w:pPr>
      <w:r w:rsidDel="00000000" w:rsidR="00000000" w:rsidRPr="00000000">
        <w:rPr>
          <w:rtl w:val="0"/>
        </w:rPr>
      </w:r>
    </w:p>
    <w:tbl>
      <w:tblPr>
        <w:tblStyle w:val="Table3"/>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Procedimientos e instrumentos de evaluación</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0F">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t xml:space="preserve">Pruebas escritas (exámenes).</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0">
            <w:pPr>
              <w:spacing w:after="57" w:before="57" w:lineRule="auto"/>
              <w:jc w:val="both"/>
              <w:rPr/>
            </w:pPr>
            <w:r w:rsidDel="00000000" w:rsidR="00000000" w:rsidRPr="00000000">
              <w:rPr>
                <w:rtl w:val="0"/>
              </w:rPr>
              <w:t xml:space="preserve">Informes de prácticas de laboratorio.</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1">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rtl w:val="0"/>
              </w:rPr>
              <w:t xml:space="preserve">Trabajos</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2">
            <w:pPr>
              <w:rPr/>
            </w:pPr>
            <w:r w:rsidDel="00000000" w:rsidR="00000000" w:rsidRPr="00000000">
              <w:rPr>
                <w:rtl w:val="0"/>
              </w:rPr>
              <w:t xml:space="preserve">Pequeñas pruebas escritas (controles).</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3">
            <w:pPr>
              <w:rPr/>
            </w:pPr>
            <w:r w:rsidDel="00000000" w:rsidR="00000000" w:rsidRPr="00000000">
              <w:rPr>
                <w:rtl w:val="0"/>
              </w:rPr>
              <w:t xml:space="preserve">Revisión del trabajo diario del alumnado (cuaderno del alumno).</w:t>
            </w:r>
          </w:p>
        </w:tc>
      </w:tr>
    </w:tbl>
    <w:p w:rsidR="00000000" w:rsidDel="00000000" w:rsidP="00000000" w:rsidRDefault="00000000" w:rsidRPr="00000000" w14:paraId="00000014">
      <w:pPr>
        <w:rPr>
          <w:rFonts w:ascii="Liberation Sans" w:cs="Liberation Sans" w:eastAsia="Liberation Sans" w:hAnsi="Liberation Sans"/>
          <w:b w:val="1"/>
          <w:color w:val="213c70"/>
          <w:sz w:val="32"/>
          <w:szCs w:val="32"/>
        </w:rPr>
      </w:pPr>
      <w:r w:rsidDel="00000000" w:rsidR="00000000" w:rsidRPr="00000000">
        <w:rPr>
          <w:rtl w:val="0"/>
        </w:rPr>
      </w:r>
    </w:p>
    <w:tbl>
      <w:tblPr>
        <w:tblStyle w:val="Table4"/>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Criterios de evaluación</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6">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1.1. Comprender y explicar con rigor los fenómenos fisicoquímicos cotidianos a partir de los principios, teorías y leyes científicas adecuadas, expresándolos de manera argumentada, utilizando diversidad de soportes y medios de comunicación. </w:t>
            </w:r>
          </w:p>
          <w:p w:rsidR="00000000" w:rsidDel="00000000" w:rsidP="00000000" w:rsidRDefault="00000000" w:rsidRPr="00000000" w14:paraId="00000017">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1.2. Resolver problemas fisicoquímicos planteados mediante las leyes y teorías científicas adecuadas, razonando los procedimientos utilizados para encontrar las soluciones y expresando los resultados con corrección y precisión. </w:t>
            </w:r>
          </w:p>
          <w:p w:rsidR="00000000" w:rsidDel="00000000" w:rsidP="00000000" w:rsidRDefault="00000000" w:rsidRPr="00000000" w14:paraId="00000018">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1.3. Reconocer y describir situaciones problemáticas reales de índole científica y emprender iniciativas colaborativas en las que la ciencia, y en particular la física y la química, pueden contribuir a su solución, analizando críticamente su impacto en la sociedad y el medio ambiente.</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9">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2.1. Emplear las metodologías propias de la ciencia en la identificación y descripción de fenómenos científicos a partir de situaciones tanto observadas en el mundo natural como planteadas a través de enunciados con información textual, gráfica o numérica. </w:t>
            </w:r>
          </w:p>
          <w:p w:rsidR="00000000" w:rsidDel="00000000" w:rsidP="00000000" w:rsidRDefault="00000000" w:rsidRPr="00000000" w14:paraId="0000001A">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2.2. Predecir, para las cuestiones planteadas, respuestas que se puedan comprobar con las herramientas y conocimientos adquiridos, tanto de forma experimental como deductiva, aplicando el razonamiento lógico-matemático en su proceso de validación. </w:t>
            </w:r>
          </w:p>
          <w:p w:rsidR="00000000" w:rsidDel="00000000" w:rsidP="00000000" w:rsidRDefault="00000000" w:rsidRPr="00000000" w14:paraId="0000001B">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2.3. Aplicar las leyes y teorías científicas más importantes para validar hipótesis de manera informada y coherente con el conocimiento científico existente, diseñando los procedimientos experimentales o deductivos necesarios para resolverlas y analizar los resultados críticamente.</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C">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3.1. Emplear fuentes variadas, fiables y seguras para seleccionar, interpretar, organizar y comunicar información relativa a un proceso fisicoquímico concreto, relacionando entre sí lo que cada una de ellas contiene, extrayendo en cada caso lo más relevante para la resolución de un problema y desechando todo lo que sea irrelevante.</w:t>
            </w:r>
          </w:p>
          <w:p w:rsidR="00000000" w:rsidDel="00000000" w:rsidP="00000000" w:rsidRDefault="00000000" w:rsidRPr="00000000" w14:paraId="0000001D">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3.2. Utilizar adecuadamente las reglas básicas de la física y la química, incluyendo el uso correcto de varios sistemas de unidades, las herramientas matemáticas necesarias y las reglas de nomenclatura avanzadas, consiguiendo una comunicación efectiva con toda la comunidad científica. </w:t>
            </w:r>
          </w:p>
          <w:p w:rsidR="00000000" w:rsidDel="00000000" w:rsidP="00000000" w:rsidRDefault="00000000" w:rsidRPr="00000000" w14:paraId="0000001E">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3.3. Aplicar con rigor las normas de uso de los espacios específicos de la ciencia, como el laboratorio de Física y Química, asegurando la salud propia y colectiva, la conservación sostenible del medio ambiente y el cuidado por las instalaciones. </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1F">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4.1. Utilizar de forma eficiente recursos variados, tradicionales y digitales, mejorando el aprendizaje autónomo y la interacción con otros miembros de la comunidad educativa, de forma rigurosa y respetuosa y analizando críticamente las aportaciones de todos. </w:t>
            </w:r>
          </w:p>
          <w:p w:rsidR="00000000" w:rsidDel="00000000" w:rsidP="00000000" w:rsidRDefault="00000000" w:rsidRPr="00000000" w14:paraId="00000020">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4.2. Trabajar de forma versátil con medios variados, tradicionales y digitales, en la consulta de información y la creación de contenidos, seleccionando y empleando con criterio las fuentes y herramientas más fiables, desechando las menos adecuadas y mejorando el aprendizaje propio y colectivo. </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1">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5.1. Establecer interacciones constructivas y coeducativas, emprendiendo actividades de cooperación e iniciando el uso de las estrategias propias del trabajo colaborativo, como forma de construir un medio de trabajo eficiente en la ciencia.</w:t>
            </w:r>
          </w:p>
          <w:p w:rsidR="00000000" w:rsidDel="00000000" w:rsidP="00000000" w:rsidRDefault="00000000" w:rsidRPr="00000000" w14:paraId="00000022">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5.2. Emprender, de forma autónoma y de acuerdo a la metodología adecuada, proyectos científicos que involucren al alumnado en la mejora de la sociedad y que creen valor para el individuo y para la comunidad.</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3">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6.1. Reconocer y valorar, a través del análisis histórico de los avances científicos logrados por mujeres y hombres, así como de situaciones y contextos actuales (líneas de investigación, instituciones científicas, etc.), que la ciencia es un proceso en permanente construcción y las repercusiones e implicaciones sociales, económicas y medioambientales de la ciencia actual en la sociedad. </w:t>
            </w:r>
          </w:p>
          <w:p w:rsidR="00000000" w:rsidDel="00000000" w:rsidP="00000000" w:rsidRDefault="00000000" w:rsidRPr="00000000" w14:paraId="00000024">
            <w:pPr>
              <w:spacing w:after="0" w:before="0" w:lineRule="auto"/>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6.2. Detectar las necesidades tecnológicas, ambientales, económicas y sociales más importantes que demanda la sociedad, entendiendo la capacidad de la ciencia para darles solución sostenible a través de la implicación de toda la ciudadanía. </w:t>
            </w:r>
          </w:p>
        </w:tc>
      </w:tr>
    </w:tbl>
    <w:p w:rsidR="00000000" w:rsidDel="00000000" w:rsidP="00000000" w:rsidRDefault="00000000" w:rsidRPr="00000000" w14:paraId="00000025">
      <w:pPr>
        <w:rPr/>
      </w:pPr>
      <w:r w:rsidDel="00000000" w:rsidR="00000000" w:rsidRPr="00000000">
        <w:rPr>
          <w:rtl w:val="0"/>
        </w:rPr>
      </w:r>
    </w:p>
    <w:tbl>
      <w:tblPr>
        <w:tblStyle w:val="Table5"/>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Criterios de calificación</w:t>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after="0" w:before="200" w:line="360" w:lineRule="auto"/>
              <w:ind w:left="360" w:firstLine="0"/>
              <w:rPr>
                <w:rFonts w:ascii="Helvetica Neue" w:cs="Helvetica Neue" w:eastAsia="Helvetica Neue" w:hAnsi="Helvetica Neue"/>
                <w:sz w:val="22"/>
                <w:szCs w:val="22"/>
              </w:rPr>
            </w:pPr>
            <w:bookmarkStart w:colFirst="0" w:colLast="0" w:name="_4d34og8" w:id="0"/>
            <w:bookmarkEnd w:id="0"/>
            <w:r w:rsidDel="00000000" w:rsidR="00000000" w:rsidRPr="00000000">
              <w:rPr>
                <w:rFonts w:ascii="Helvetica Neue" w:cs="Helvetica Neue" w:eastAsia="Helvetica Neue" w:hAnsi="Helvetica Neue"/>
                <w:sz w:val="22"/>
                <w:szCs w:val="22"/>
                <w:rtl w:val="0"/>
              </w:rPr>
              <w:t xml:space="preserve">La nota media de cada evaluación se calcula como:</w:t>
            </w:r>
          </w:p>
          <w:p w:rsidR="00000000" w:rsidDel="00000000" w:rsidP="00000000" w:rsidRDefault="00000000" w:rsidRPr="00000000" w14:paraId="00000028">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before="0" w:line="360"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80 % Pruebas escritas (exámenes). </w:t>
            </w:r>
          </w:p>
          <w:p w:rsidR="00000000" w:rsidDel="00000000" w:rsidP="00000000" w:rsidRDefault="00000000" w:rsidRPr="00000000" w14:paraId="00000029">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before="0" w:line="360" w:lineRule="auto"/>
              <w:ind w:left="72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20 % Informes de prácticas de laboratorio y/o trabajos y/o actividades relacionadas y/o revisión de la tarea.</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pacing w:after="0" w:before="0" w:line="360" w:lineRule="auto"/>
              <w:ind w:left="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En caso de que el alumnado no asista a la realización del examen en la fecha prevista, el docente únicamente le repetirá el examen si entrega un justificante con un motivo de peso y firmado por los padres.</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after="0" w:before="0" w:line="360" w:lineRule="auto"/>
              <w:rPr/>
            </w:pPr>
            <w:r w:rsidDel="00000000" w:rsidR="00000000" w:rsidRPr="00000000">
              <w:rPr>
                <w:rFonts w:ascii="Helvetica Neue" w:cs="Helvetica Neue" w:eastAsia="Helvetica Neue" w:hAnsi="Helvetica Neue"/>
                <w:sz w:val="22"/>
                <w:szCs w:val="22"/>
                <w:rtl w:val="0"/>
              </w:rPr>
              <w:t xml:space="preserve">En la tercera evaluación se realizará de manera voluntaria un test de 20 preguntas sobre el libro de lectura La puerta de los tres cerrojos de Sonia Fernandez-Vidal. Las preguntas falladas no restan, pero el alumno deberá responder correctamente a un mínimo de 15 preguntas para subir la nota final de la tercera evaluación en 0,5 puntos.</w:t>
            </w:r>
            <w:r w:rsidDel="00000000" w:rsidR="00000000" w:rsidRPr="00000000">
              <w:rPr>
                <w:rtl w:val="0"/>
              </w:rPr>
            </w:r>
          </w:p>
        </w:tc>
      </w:tr>
      <w:tr>
        <w:trPr>
          <w:cantSplit w:val="0"/>
          <w:tblHeader w:val="0"/>
        </w:trPr>
        <w:tc>
          <w:tcPr>
            <w:tcBorders>
              <w:left w:color="213c70" w:space="0" w:sz="6" w:val="single"/>
              <w:bottom w:color="213c70" w:space="0" w:sz="4" w:val="single"/>
              <w:right w:color="213c70" w:space="0" w:sz="6" w:val="single"/>
            </w:tcBorders>
            <w:shd w:fill="auto" w:val="clear"/>
          </w:tcPr>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pacing w:after="0" w:before="0" w:line="360" w:lineRule="auto"/>
              <w:rPr>
                <w:rFonts w:ascii="Linux Biolinum G" w:cs="Linux Biolinum G" w:eastAsia="Linux Biolinum G" w:hAnsi="Linux Biolinum G"/>
                <w:b w:val="0"/>
                <w:i w:val="0"/>
                <w:strike w:val="0"/>
                <w:color w:val="000000"/>
                <w:sz w:val="24"/>
                <w:szCs w:val="24"/>
                <w:u w:val="none"/>
              </w:rPr>
            </w:pPr>
            <w:r w:rsidDel="00000000" w:rsidR="00000000" w:rsidRPr="00000000">
              <w:rPr>
                <w:rFonts w:ascii="Helvetica Neue" w:cs="Helvetica Neue" w:eastAsia="Helvetica Neue" w:hAnsi="Helvetica Neue"/>
                <w:sz w:val="22"/>
                <w:szCs w:val="22"/>
                <w:rtl w:val="0"/>
              </w:rPr>
              <w:t xml:space="preserve">La nota final es la media aritmética de las tres evaluaciones. El alumnado superará la materia cuando tenga una nota igual o superior a 5. Habrá una recuperación de cada una de las evaluaciones tras la correspondiente sesión de evaluación, excepto en la tercera, que se realizará antes de la evaluación final ordinaria de junio. La nota de esta recuperación sustituirá a la nota anterior, siempre y cuando se mejore la nota.</w:t>
            </w: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tbl>
      <w:tblPr>
        <w:tblStyle w:val="Table6"/>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Criterios de promoción y titulación</w:t>
            </w:r>
          </w:p>
        </w:tc>
      </w:tr>
      <w:tr>
        <w:trPr>
          <w:cantSplit w:val="0"/>
          <w:tblHeader w:val="0"/>
        </w:trPr>
        <w:tc>
          <w:tcPr>
            <w:tcBorders>
              <w:left w:color="213c70" w:space="0" w:sz="6" w:val="single"/>
              <w:bottom w:color="213c70" w:space="0" w:sz="6" w:val="single"/>
              <w:right w:color="213c70" w:space="0" w:sz="6" w:val="single"/>
            </w:tcBorders>
            <w:shd w:fill="auto" w:val="clear"/>
          </w:tcPr>
          <w:p w:rsidR="00000000" w:rsidDel="00000000" w:rsidP="00000000" w:rsidRDefault="00000000" w:rsidRPr="00000000" w14:paraId="0000002F">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b w:val="0"/>
                <w:i w:val="0"/>
                <w:strike w:val="0"/>
                <w:color w:val="000000"/>
                <w:sz w:val="24"/>
                <w:szCs w:val="24"/>
                <w:u w:val="none"/>
                <w:rtl w:val="0"/>
              </w:rPr>
              <w:t xml:space="preserve">Con respecto a la </w:t>
            </w:r>
            <w:r w:rsidDel="00000000" w:rsidR="00000000" w:rsidRPr="00000000">
              <w:rPr>
                <w:b w:val="1"/>
                <w:i w:val="0"/>
                <w:strike w:val="0"/>
                <w:color w:val="000000"/>
                <w:sz w:val="24"/>
                <w:szCs w:val="24"/>
                <w:u w:val="none"/>
                <w:rtl w:val="0"/>
              </w:rPr>
              <w:t xml:space="preserve">promoción</w:t>
            </w:r>
            <w:r w:rsidDel="00000000" w:rsidR="00000000" w:rsidRPr="00000000">
              <w:rPr>
                <w:b w:val="0"/>
                <w:i w:val="0"/>
                <w:strike w:val="0"/>
                <w:color w:val="000000"/>
                <w:sz w:val="24"/>
                <w:szCs w:val="24"/>
                <w:u w:val="none"/>
                <w:rtl w:val="0"/>
              </w:rPr>
              <w:t xml:space="preserve"> se seguirá la normativa definida en el artículo 18 (Artículo 18. Promoción) de la Orden ECD/1172/2022, de 2 de agosto, por la que se aprueban el currículo y las características de la evaluación de la Educación Secundaria Obligatoria y se autoriza su aplicación en los centros docentes de la Comunidad Autónoma de Aragón.</w:t>
            </w:r>
            <w:r w:rsidDel="00000000" w:rsidR="00000000" w:rsidRPr="00000000">
              <w:rPr>
                <w:rtl w:val="0"/>
              </w:rPr>
            </w:r>
          </w:p>
          <w:p w:rsidR="00000000" w:rsidDel="00000000" w:rsidP="00000000" w:rsidRDefault="00000000" w:rsidRPr="00000000" w14:paraId="00000030">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b w:val="0"/>
                <w:i w:val="0"/>
                <w:strike w:val="0"/>
                <w:color w:val="000000"/>
                <w:sz w:val="24"/>
                <w:szCs w:val="24"/>
                <w:u w:val="none"/>
                <w:rtl w:val="0"/>
              </w:rPr>
              <w:t xml:space="preserve">Con respecto a la </w:t>
            </w:r>
            <w:r w:rsidDel="00000000" w:rsidR="00000000" w:rsidRPr="00000000">
              <w:rPr>
                <w:b w:val="1"/>
                <w:i w:val="0"/>
                <w:strike w:val="0"/>
                <w:color w:val="000000"/>
                <w:sz w:val="24"/>
                <w:szCs w:val="24"/>
                <w:u w:val="none"/>
                <w:rtl w:val="0"/>
              </w:rPr>
              <w:t xml:space="preserve">titulación</w:t>
            </w:r>
            <w:r w:rsidDel="00000000" w:rsidR="00000000" w:rsidRPr="00000000">
              <w:rPr>
                <w:b w:val="0"/>
                <w:i w:val="0"/>
                <w:strike w:val="0"/>
                <w:color w:val="000000"/>
                <w:sz w:val="24"/>
                <w:szCs w:val="24"/>
                <w:u w:val="none"/>
                <w:rtl w:val="0"/>
              </w:rPr>
              <w:t xml:space="preserve"> se seguirá la normativa definida en el artículo 27 (Artículo 27. Título de Graduado o Graduada en Educación Secundaria Obligatoria) de la Orden indicada en el párrafo anterior.</w:t>
            </w:r>
            <w:r w:rsidDel="00000000" w:rsidR="00000000" w:rsidRPr="00000000">
              <w:rPr>
                <w:rtl w:val="0"/>
              </w:rPr>
            </w:r>
          </w:p>
        </w:tc>
      </w:tr>
    </w:tbl>
    <w:p w:rsidR="00000000" w:rsidDel="00000000" w:rsidP="00000000" w:rsidRDefault="00000000" w:rsidRPr="00000000" w14:paraId="00000031">
      <w:pPr>
        <w:rPr/>
      </w:pPr>
      <w:r w:rsidDel="00000000" w:rsidR="00000000" w:rsidRPr="00000000">
        <w:rPr>
          <w:rtl w:val="0"/>
        </w:rPr>
      </w:r>
    </w:p>
    <w:tbl>
      <w:tblPr>
        <w:tblStyle w:val="Table7"/>
        <w:tblW w:w="9638.0" w:type="dxa"/>
        <w:jc w:val="left"/>
        <w:tblInd w:w="-105.0" w:type="dxa"/>
        <w:tblBorders>
          <w:top w:color="213c70" w:space="0" w:sz="6" w:val="single"/>
          <w:left w:color="213c70" w:space="0" w:sz="6" w:val="single"/>
          <w:bottom w:color="213c70" w:space="0" w:sz="4" w:val="single"/>
          <w:right w:color="213c70" w:space="0" w:sz="6" w:val="single"/>
          <w:insideH w:color="213c70" w:space="0" w:sz="4" w:val="single"/>
          <w:insideV w:color="213c70" w:space="0" w:sz="6" w:val="single"/>
        </w:tblBorders>
        <w:tblLayout w:type="fixed"/>
        <w:tblLook w:val="0000"/>
      </w:tblPr>
      <w:tblGrid>
        <w:gridCol w:w="9638"/>
        <w:tblGridChange w:id="0">
          <w:tblGrid>
            <w:gridCol w:w="9638"/>
          </w:tblGrid>
        </w:tblGridChange>
      </w:tblGrid>
      <w:tr>
        <w:trPr>
          <w:cantSplit w:val="0"/>
          <w:tblHeader w:val="0"/>
        </w:trPr>
        <w:tc>
          <w:tcPr>
            <w:tcBorders>
              <w:top w:color="213c70" w:space="0" w:sz="6" w:val="single"/>
              <w:left w:color="213c70" w:space="0" w:sz="6" w:val="single"/>
              <w:bottom w:color="213c70" w:space="0" w:sz="4" w:val="single"/>
              <w:right w:color="213c70" w:space="0" w:sz="6" w:val="single"/>
            </w:tcBorders>
            <w:shd w:fill="dee2eb"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Linux Biolinum G" w:cs="Linux Biolinum G" w:eastAsia="Linux Biolinum G" w:hAnsi="Linux Biolinum G"/>
                <w:b w:val="0"/>
                <w:i w:val="0"/>
                <w:smallCaps w:val="0"/>
                <w:strike w:val="0"/>
                <w:color w:val="3465a4"/>
                <w:sz w:val="36"/>
                <w:szCs w:val="36"/>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3465a4"/>
                <w:sz w:val="36"/>
                <w:szCs w:val="36"/>
                <w:u w:val="none"/>
                <w:shd w:fill="auto" w:val="clear"/>
                <w:vertAlign w:val="baseline"/>
                <w:rtl w:val="0"/>
              </w:rPr>
              <w:t xml:space="preserve">Medidas de intervención educativa que se precisen</w:t>
            </w:r>
          </w:p>
        </w:tc>
      </w:tr>
      <w:tr>
        <w:trPr>
          <w:cantSplit w:val="0"/>
          <w:tblHeader w:val="0"/>
        </w:trPr>
        <w:tc>
          <w:tcPr>
            <w:tcBorders>
              <w:left w:color="213c70" w:space="0" w:sz="6" w:val="single"/>
              <w:bottom w:color="213c70" w:space="0" w:sz="6" w:val="single"/>
              <w:right w:color="213c70" w:space="0" w:sz="6" w:val="single"/>
            </w:tcBorders>
            <w:shd w:fill="auto" w:val="clear"/>
          </w:tcPr>
          <w:p w:rsidR="00000000" w:rsidDel="00000000" w:rsidP="00000000" w:rsidRDefault="00000000" w:rsidRPr="00000000" w14:paraId="00000033">
            <w:pPr>
              <w:spacing w:after="57" w:before="57" w:lineRule="auto"/>
              <w:jc w:val="both"/>
              <w:rPr>
                <w:rFonts w:ascii="Linux Biolinum G" w:cs="Linux Biolinum G" w:eastAsia="Linux Biolinum G" w:hAnsi="Linux Biolinum G"/>
                <w:b w:val="0"/>
                <w:i w:val="0"/>
                <w:strike w:val="0"/>
                <w:color w:val="000000"/>
                <w:sz w:val="24"/>
                <w:szCs w:val="24"/>
                <w:u w:val="none"/>
              </w:rPr>
            </w:pPr>
            <w:r w:rsidDel="00000000" w:rsidR="00000000" w:rsidRPr="00000000">
              <w:rPr>
                <w:b w:val="0"/>
                <w:i w:val="0"/>
                <w:strike w:val="0"/>
                <w:color w:val="000000"/>
                <w:sz w:val="24"/>
                <w:szCs w:val="24"/>
                <w:u w:val="none"/>
                <w:rtl w:val="0"/>
              </w:rPr>
              <w:t xml:space="preserve">En función de las necesidades que surjan a lo largo del proceso, se implementarán las medidas adecuadas.</w:t>
            </w:r>
            <w:r w:rsidDel="00000000" w:rsidR="00000000" w:rsidRPr="00000000">
              <w:rPr>
                <w:rtl w:val="0"/>
              </w:rPr>
            </w:r>
          </w:p>
        </w:tc>
      </w:tr>
    </w:tbl>
    <w:p w:rsidR="00000000" w:rsidDel="00000000" w:rsidP="00000000" w:rsidRDefault="00000000" w:rsidRPr="00000000" w14:paraId="00000034">
      <w:pPr>
        <w:spacing w:after="57" w:before="57" w:lineRule="auto"/>
        <w:rPr/>
      </w:pPr>
      <w:r w:rsidDel="00000000" w:rsidR="00000000" w:rsidRPr="00000000">
        <w:rPr>
          <w:rtl w:val="0"/>
        </w:rPr>
      </w:r>
    </w:p>
    <w:sectPr>
      <w:footerReference r:id="rId7" w:type="default"/>
      <w:pgSz w:h="16838" w:w="11906" w:orient="portrait"/>
      <w:pgMar w:bottom="1748" w:top="1134" w:left="1134" w:right="1134" w:header="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Liberation Sans"/>
  <w:font w:name="Linux Biolinum G"/>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57" w:before="57" w:line="240" w:lineRule="auto"/>
      <w:ind w:left="0" w:right="0" w:firstLine="0"/>
      <w:jc w:val="right"/>
      <w:rPr>
        <w:rFonts w:ascii="Linux Biolinum G" w:cs="Linux Biolinum G" w:eastAsia="Linux Biolinum G" w:hAnsi="Linux Biolinum G"/>
        <w:b w:val="0"/>
        <w:i w:val="0"/>
        <w:smallCaps w:val="0"/>
        <w:strike w:val="0"/>
        <w:color w:val="000000"/>
        <w:sz w:val="24"/>
        <w:szCs w:val="24"/>
        <w:u w:val="none"/>
        <w:shd w:fill="auto" w:val="clear"/>
        <w:vertAlign w:val="baseline"/>
      </w:rPr>
    </w:pPr>
    <w:r w:rsidDel="00000000" w:rsidR="00000000" w:rsidRPr="00000000">
      <w:rPr>
        <w:rFonts w:ascii="Linux Biolinum G" w:cs="Linux Biolinum G" w:eastAsia="Linux Biolinum G" w:hAnsi="Linux Biolinum G"/>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Linux Biolinum G" w:cs="Linux Biolinum G" w:eastAsia="Linux Biolinum G" w:hAnsi="Linux Biolinum G"/>
        <w:b w:val="0"/>
        <w:i w:val="0"/>
        <w:smallCaps w:val="0"/>
        <w:strike w:val="0"/>
        <w:color w:val="000000"/>
        <w:sz w:val="24"/>
        <w:szCs w:val="24"/>
        <w:u w:val="none"/>
        <w:shd w:fill="auto" w:val="clear"/>
        <w:vertAlign w:val="baseline"/>
        <w:rtl w:val="0"/>
      </w:rPr>
      <w:t xml:space="preserve"> de </w:t>
    </w:r>
    <w:r w:rsidDel="00000000" w:rsidR="00000000" w:rsidRPr="00000000">
      <w:rPr>
        <w:rFonts w:ascii="Linux Biolinum G" w:cs="Linux Biolinum G" w:eastAsia="Linux Biolinum G" w:hAnsi="Linux Biolinum G"/>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nux Biolinum G" w:cs="Linux Biolinum G" w:eastAsia="Linux Biolinum G" w:hAnsi="Linux Biolinum G"/>
        <w:sz w:val="24"/>
        <w:szCs w:val="24"/>
        <w:lang w:val="es-ES"/>
      </w:rPr>
    </w:rPrDefault>
    <w:pPrDefault>
      <w:pPr>
        <w:spacing w:after="57" w:before="57"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ind w:left="0" w:firstLine="0"/>
    </w:pPr>
    <w:rPr>
      <w:rFonts w:ascii="Liberation Sans" w:cs="Liberation Sans" w:eastAsia="Liberation Sans" w:hAnsi="Liberation Sans"/>
      <w:b w:val="1"/>
      <w:sz w:val="36"/>
      <w:szCs w:val="36"/>
    </w:rPr>
  </w:style>
  <w:style w:type="paragraph" w:styleId="Heading2">
    <w:name w:val="heading 2"/>
    <w:basedOn w:val="Normal"/>
    <w:next w:val="Normal"/>
    <w:pPr>
      <w:keepNext w:val="1"/>
      <w:spacing w:after="120" w:before="200" w:lineRule="auto"/>
      <w:ind w:left="0" w:firstLine="0"/>
    </w:pPr>
    <w:rPr>
      <w:rFonts w:ascii="Liberation Sans" w:cs="Liberation Sans" w:eastAsia="Liberation Sans" w:hAnsi="Liberation Sans"/>
      <w:b w:val="1"/>
      <w:color w:val="213c70"/>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Liberation Sans" w:cs="Liberation Sans" w:eastAsia="Liberation Sans" w:hAnsi="Liberation Sans"/>
      <w:b w:val="1"/>
      <w:color w:val="3465a4"/>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 w:type="table" w:styleId="Table2">
    <w:basedOn w:val="TableNormal"/>
    <w:tblPr>
      <w:tblStyleRowBandSize w:val="1"/>
      <w:tblStyleColBandSize w:val="1"/>
      <w:tblCellMar>
        <w:top w:w="57.0" w:type="dxa"/>
        <w:left w:w="105.0" w:type="dxa"/>
        <w:bottom w:w="57.0" w:type="dxa"/>
        <w:right w:w="113.0" w:type="dxa"/>
      </w:tblCellMar>
    </w:tblPr>
  </w:style>
  <w:style w:type="table" w:styleId="Table3">
    <w:basedOn w:val="TableNormal"/>
    <w:tblPr>
      <w:tblStyleRowBandSize w:val="1"/>
      <w:tblStyleColBandSize w:val="1"/>
      <w:tblCellMar>
        <w:top w:w="57.0" w:type="dxa"/>
        <w:left w:w="105.0" w:type="dxa"/>
        <w:bottom w:w="57.0" w:type="dxa"/>
        <w:right w:w="113.0" w:type="dxa"/>
      </w:tblCellMar>
    </w:tblPr>
  </w:style>
  <w:style w:type="table" w:styleId="Table4">
    <w:basedOn w:val="TableNormal"/>
    <w:tblPr>
      <w:tblStyleRowBandSize w:val="1"/>
      <w:tblStyleColBandSize w:val="1"/>
      <w:tblCellMar>
        <w:top w:w="57.0" w:type="dxa"/>
        <w:left w:w="105.0" w:type="dxa"/>
        <w:bottom w:w="57.0" w:type="dxa"/>
        <w:right w:w="113.0" w:type="dxa"/>
      </w:tblCellMar>
    </w:tblPr>
  </w:style>
  <w:style w:type="table" w:styleId="Table5">
    <w:basedOn w:val="TableNormal"/>
    <w:tblPr>
      <w:tblStyleRowBandSize w:val="1"/>
      <w:tblStyleColBandSize w:val="1"/>
      <w:tblCellMar>
        <w:top w:w="57.0" w:type="dxa"/>
        <w:left w:w="105.0" w:type="dxa"/>
        <w:bottom w:w="57.0" w:type="dxa"/>
        <w:right w:w="113.0" w:type="dxa"/>
      </w:tblCellMar>
    </w:tblPr>
  </w:style>
  <w:style w:type="table" w:styleId="Table6">
    <w:basedOn w:val="TableNormal"/>
    <w:tblPr>
      <w:tblStyleRowBandSize w:val="1"/>
      <w:tblStyleColBandSize w:val="1"/>
      <w:tblCellMar>
        <w:top w:w="57.0" w:type="dxa"/>
        <w:left w:w="105.0" w:type="dxa"/>
        <w:bottom w:w="57.0" w:type="dxa"/>
        <w:right w:w="113.0" w:type="dxa"/>
      </w:tblCellMar>
    </w:tblPr>
  </w:style>
  <w:style w:type="table" w:styleId="Table7">
    <w:basedOn w:val="TableNormal"/>
    <w:tblPr>
      <w:tblStyleRowBandSize w:val="1"/>
      <w:tblStyleColBandSize w:val="1"/>
      <w:tblCellMar>
        <w:top w:w="57.0" w:type="dxa"/>
        <w:left w:w="105.0" w:type="dxa"/>
        <w:bottom w:w="57.0" w:type="dxa"/>
        <w:right w:w="11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